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9F" w:rsidRPr="003D559F" w:rsidRDefault="003D559F" w:rsidP="003D559F">
      <w:pPr>
        <w:shd w:val="clear" w:color="auto" w:fill="F1EFF0"/>
        <w:spacing w:after="0" w:line="240" w:lineRule="auto"/>
        <w:ind w:firstLine="480"/>
        <w:jc w:val="right"/>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Главе муниципального образования</w:t>
      </w:r>
    </w:p>
    <w:p w:rsidR="003D559F" w:rsidRPr="003D559F" w:rsidRDefault="003D559F" w:rsidP="003D559F">
      <w:pPr>
        <w:shd w:val="clear" w:color="auto" w:fill="F1EFF0"/>
        <w:spacing w:after="0" w:line="240" w:lineRule="auto"/>
        <w:ind w:firstLine="480"/>
        <w:jc w:val="right"/>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Пудостьское сельское поселение</w:t>
      </w:r>
    </w:p>
    <w:p w:rsidR="003D559F" w:rsidRPr="003D559F" w:rsidRDefault="003D559F" w:rsidP="003D559F">
      <w:pPr>
        <w:shd w:val="clear" w:color="auto" w:fill="F1EFF0"/>
        <w:spacing w:after="0" w:line="240" w:lineRule="auto"/>
        <w:ind w:firstLine="480"/>
        <w:jc w:val="right"/>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Гатчинского муниципального района</w:t>
      </w:r>
    </w:p>
    <w:p w:rsidR="003D559F" w:rsidRPr="003D559F" w:rsidRDefault="003D559F" w:rsidP="003D559F">
      <w:pPr>
        <w:shd w:val="clear" w:color="auto" w:fill="F1EFF0"/>
        <w:spacing w:after="0" w:line="240" w:lineRule="auto"/>
        <w:ind w:firstLine="480"/>
        <w:jc w:val="right"/>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Ленинградской области</w:t>
      </w:r>
    </w:p>
    <w:p w:rsidR="003D559F" w:rsidRPr="003D559F" w:rsidRDefault="003D559F" w:rsidP="003D559F">
      <w:pPr>
        <w:shd w:val="clear" w:color="auto" w:fill="F1EFF0"/>
        <w:spacing w:after="0" w:line="240" w:lineRule="auto"/>
        <w:ind w:firstLine="480"/>
        <w:jc w:val="right"/>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С.В. Коняеву</w:t>
      </w:r>
    </w:p>
    <w:p w:rsidR="003D559F" w:rsidRPr="003D559F" w:rsidRDefault="003D559F" w:rsidP="003D559F">
      <w:pPr>
        <w:shd w:val="clear" w:color="auto" w:fill="F1EFF0"/>
        <w:spacing w:after="0" w:line="240" w:lineRule="auto"/>
        <w:ind w:firstLine="480"/>
        <w:jc w:val="right"/>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 </w:t>
      </w:r>
    </w:p>
    <w:p w:rsidR="003D559F" w:rsidRPr="003D559F" w:rsidRDefault="003D559F" w:rsidP="003D559F">
      <w:pPr>
        <w:shd w:val="clear" w:color="auto" w:fill="F1EFF0"/>
        <w:spacing w:after="0" w:line="240" w:lineRule="auto"/>
        <w:ind w:firstLine="480"/>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               Исх. № 1614</w:t>
      </w:r>
    </w:p>
    <w:p w:rsidR="003D559F" w:rsidRPr="003D559F" w:rsidRDefault="003D559F" w:rsidP="003D559F">
      <w:pPr>
        <w:shd w:val="clear" w:color="auto" w:fill="F1EFF0"/>
        <w:spacing w:after="0" w:line="240" w:lineRule="auto"/>
        <w:ind w:firstLine="480"/>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               от 15.10.2014</w:t>
      </w:r>
    </w:p>
    <w:p w:rsidR="003D559F" w:rsidRPr="003D559F" w:rsidRDefault="003D559F" w:rsidP="003D559F">
      <w:pPr>
        <w:shd w:val="clear" w:color="auto" w:fill="F1EFF0"/>
        <w:spacing w:after="0" w:line="240" w:lineRule="auto"/>
        <w:ind w:firstLine="480"/>
        <w:jc w:val="center"/>
        <w:rPr>
          <w:rFonts w:ascii="Verdana" w:eastAsia="Times New Roman" w:hAnsi="Verdana" w:cs="Times New Roman"/>
          <w:color w:val="51300F"/>
          <w:sz w:val="18"/>
          <w:szCs w:val="18"/>
        </w:rPr>
      </w:pPr>
      <w:r w:rsidRPr="003D559F">
        <w:rPr>
          <w:rFonts w:ascii="Times New Roman" w:eastAsia="Times New Roman" w:hAnsi="Times New Roman" w:cs="Times New Roman"/>
          <w:b/>
          <w:bCs/>
          <w:color w:val="000000"/>
          <w:sz w:val="24"/>
          <w:szCs w:val="24"/>
        </w:rPr>
        <w:t>ЭКСПЕРТНОЕ ЗАКЛЮЧЕНИЕ</w:t>
      </w:r>
    </w:p>
    <w:p w:rsidR="003D559F" w:rsidRPr="003D559F" w:rsidRDefault="003D559F" w:rsidP="003D559F">
      <w:pPr>
        <w:shd w:val="clear" w:color="auto" w:fill="F1EFF0"/>
        <w:spacing w:after="0" w:line="240" w:lineRule="auto"/>
        <w:ind w:firstLine="480"/>
        <w:jc w:val="center"/>
        <w:rPr>
          <w:rFonts w:ascii="Verdana" w:eastAsia="Times New Roman" w:hAnsi="Verdana" w:cs="Times New Roman"/>
          <w:color w:val="51300F"/>
          <w:sz w:val="18"/>
          <w:szCs w:val="18"/>
        </w:rPr>
      </w:pPr>
      <w:r w:rsidRPr="003D559F">
        <w:rPr>
          <w:rFonts w:ascii="Times New Roman" w:eastAsia="Times New Roman" w:hAnsi="Times New Roman" w:cs="Times New Roman"/>
          <w:b/>
          <w:bCs/>
          <w:color w:val="000000"/>
          <w:sz w:val="24"/>
          <w:szCs w:val="24"/>
        </w:rPr>
        <w:t>на проект решения Совета депутатов муниципального образования</w:t>
      </w:r>
    </w:p>
    <w:p w:rsidR="003D559F" w:rsidRPr="003D559F" w:rsidRDefault="003D559F" w:rsidP="003D559F">
      <w:pPr>
        <w:shd w:val="clear" w:color="auto" w:fill="F1EFF0"/>
        <w:spacing w:after="0" w:line="240" w:lineRule="auto"/>
        <w:ind w:firstLine="480"/>
        <w:jc w:val="center"/>
        <w:rPr>
          <w:rFonts w:ascii="Verdana" w:eastAsia="Times New Roman" w:hAnsi="Verdana" w:cs="Times New Roman"/>
          <w:color w:val="51300F"/>
          <w:sz w:val="18"/>
          <w:szCs w:val="18"/>
        </w:rPr>
      </w:pPr>
      <w:r w:rsidRPr="003D559F">
        <w:rPr>
          <w:rFonts w:ascii="Times New Roman" w:eastAsia="Times New Roman" w:hAnsi="Times New Roman" w:cs="Times New Roman"/>
          <w:b/>
          <w:bCs/>
          <w:color w:val="000000"/>
          <w:sz w:val="24"/>
          <w:szCs w:val="24"/>
        </w:rPr>
        <w:t>Пудостьское сельское поселение</w:t>
      </w:r>
    </w:p>
    <w:p w:rsidR="003D559F" w:rsidRPr="003D559F" w:rsidRDefault="003D559F" w:rsidP="003D559F">
      <w:pPr>
        <w:shd w:val="clear" w:color="auto" w:fill="F1EFF0"/>
        <w:spacing w:after="0" w:line="240" w:lineRule="auto"/>
        <w:ind w:firstLine="480"/>
        <w:jc w:val="center"/>
        <w:rPr>
          <w:rFonts w:ascii="Verdana" w:eastAsia="Times New Roman" w:hAnsi="Verdana" w:cs="Times New Roman"/>
          <w:color w:val="51300F"/>
          <w:sz w:val="18"/>
          <w:szCs w:val="18"/>
        </w:rPr>
      </w:pPr>
      <w:r w:rsidRPr="003D559F">
        <w:rPr>
          <w:rFonts w:ascii="Times New Roman" w:eastAsia="Times New Roman" w:hAnsi="Times New Roman" w:cs="Times New Roman"/>
          <w:b/>
          <w:bCs/>
          <w:color w:val="000000"/>
          <w:sz w:val="24"/>
          <w:szCs w:val="24"/>
        </w:rPr>
        <w:t>Гатчинского муниципального района Ленинградской области</w:t>
      </w:r>
    </w:p>
    <w:p w:rsidR="003D559F" w:rsidRPr="003D559F" w:rsidRDefault="003D559F" w:rsidP="003D559F">
      <w:pPr>
        <w:shd w:val="clear" w:color="auto" w:fill="F1EFF0"/>
        <w:spacing w:after="0" w:line="240" w:lineRule="auto"/>
        <w:ind w:firstLine="480"/>
        <w:jc w:val="center"/>
        <w:rPr>
          <w:rFonts w:ascii="Verdana" w:eastAsia="Times New Roman" w:hAnsi="Verdana" w:cs="Times New Roman"/>
          <w:color w:val="51300F"/>
          <w:sz w:val="18"/>
          <w:szCs w:val="18"/>
        </w:rPr>
      </w:pPr>
      <w:r w:rsidRPr="003D559F">
        <w:rPr>
          <w:rFonts w:ascii="Times New Roman" w:eastAsia="Times New Roman" w:hAnsi="Times New Roman" w:cs="Times New Roman"/>
          <w:b/>
          <w:bCs/>
          <w:color w:val="000000"/>
          <w:sz w:val="24"/>
          <w:szCs w:val="24"/>
        </w:rPr>
        <w:t>«Об утверждении бюджета Пудостьского сельского поселения на 2015 год»</w:t>
      </w:r>
    </w:p>
    <w:p w:rsidR="003D559F" w:rsidRPr="003D559F" w:rsidRDefault="003D559F" w:rsidP="003D559F">
      <w:pPr>
        <w:shd w:val="clear" w:color="auto" w:fill="F1EFF0"/>
        <w:spacing w:after="0" w:line="240" w:lineRule="auto"/>
        <w:ind w:left="720" w:firstLine="480"/>
        <w:jc w:val="both"/>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        </w:t>
      </w:r>
      <w:proofErr w:type="gramStart"/>
      <w:r w:rsidRPr="003D559F">
        <w:rPr>
          <w:rFonts w:ascii="Times New Roman" w:eastAsia="Times New Roman" w:hAnsi="Times New Roman" w:cs="Times New Roman"/>
          <w:color w:val="000000"/>
          <w:sz w:val="24"/>
          <w:szCs w:val="24"/>
        </w:rPr>
        <w:t>Представленным проектом решения Совета депутатов муниципального образования Пудостьское сельское поселение Гатчинского муниципального района Ленинградской области «Об утверждении бюджета Пудостьского сельского поселения на 2015 год» предлагается установить бюджет Пудостьского сельского поселения по доходам в размере 52774,3 тыс. руб., по расходам 54652,2 тыс. руб.</w:t>
      </w:r>
      <w:proofErr w:type="gramEnd"/>
    </w:p>
    <w:p w:rsidR="003D559F" w:rsidRPr="003D559F" w:rsidRDefault="003D559F" w:rsidP="003D559F">
      <w:pPr>
        <w:shd w:val="clear" w:color="auto" w:fill="F1EFF0"/>
        <w:spacing w:after="0" w:line="240" w:lineRule="auto"/>
        <w:ind w:left="720" w:firstLine="480"/>
        <w:jc w:val="both"/>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        </w:t>
      </w:r>
      <w:proofErr w:type="gramStart"/>
      <w:r w:rsidRPr="003D559F">
        <w:rPr>
          <w:rFonts w:ascii="Times New Roman" w:eastAsia="Times New Roman" w:hAnsi="Times New Roman" w:cs="Times New Roman"/>
          <w:color w:val="000000"/>
          <w:sz w:val="24"/>
          <w:szCs w:val="24"/>
        </w:rPr>
        <w:t>Предельный размер дефицита бюджета на 2015 год запланирован проектом в размере 1877,9 тыс. руб. или 5 процентов к объему доходов бюджета без учета утвержденного объема безвозмездных поступлений, что соответствует пункту 3 статьи 92.1 Бюджетного кодекса Российской Федерации, устанавливающий, что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w:t>
      </w:r>
      <w:proofErr w:type="gramEnd"/>
      <w:r w:rsidRPr="003D559F">
        <w:rPr>
          <w:rFonts w:ascii="Times New Roman" w:eastAsia="Times New Roman" w:hAnsi="Times New Roman" w:cs="Times New Roman"/>
          <w:color w:val="000000"/>
          <w:sz w:val="24"/>
          <w:szCs w:val="24"/>
        </w:rPr>
        <w:t xml:space="preserve"> и (или) поступлений налоговых доходов по дополнительным нормативам отчислений.</w:t>
      </w:r>
    </w:p>
    <w:p w:rsidR="003D559F" w:rsidRPr="003D559F" w:rsidRDefault="003D559F" w:rsidP="003D559F">
      <w:pPr>
        <w:shd w:val="clear" w:color="auto" w:fill="F1EFF0"/>
        <w:spacing w:after="0" w:line="240" w:lineRule="auto"/>
        <w:ind w:left="720" w:firstLine="480"/>
        <w:jc w:val="both"/>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 xml:space="preserve">       Уменьшение доходной и расходной части бюджета на 2015 год по сравнению с  соответствующими показателями на 2014 год составляет 16010,6 тыс. руб. (или 23,3%) и 27405,4 тыс. руб. (или 33,4%) соответственно. Таким образом, темп уменьшения расходной части бюджета опережает темп уменьшения доходной части бюджета на 10,1 </w:t>
      </w:r>
      <w:proofErr w:type="gramStart"/>
      <w:r w:rsidRPr="003D559F">
        <w:rPr>
          <w:rFonts w:ascii="Times New Roman" w:eastAsia="Times New Roman" w:hAnsi="Times New Roman" w:cs="Times New Roman"/>
          <w:color w:val="000000"/>
          <w:sz w:val="24"/>
          <w:szCs w:val="24"/>
        </w:rPr>
        <w:t>процентных</w:t>
      </w:r>
      <w:proofErr w:type="gramEnd"/>
      <w:r w:rsidRPr="003D559F">
        <w:rPr>
          <w:rFonts w:ascii="Times New Roman" w:eastAsia="Times New Roman" w:hAnsi="Times New Roman" w:cs="Times New Roman"/>
          <w:color w:val="000000"/>
          <w:sz w:val="24"/>
          <w:szCs w:val="24"/>
        </w:rPr>
        <w:t xml:space="preserve"> пункта.</w:t>
      </w:r>
    </w:p>
    <w:p w:rsidR="003D559F" w:rsidRPr="003D559F" w:rsidRDefault="003D559F" w:rsidP="003D559F">
      <w:pPr>
        <w:shd w:val="clear" w:color="auto" w:fill="F1EFF0"/>
        <w:spacing w:after="0" w:line="240" w:lineRule="auto"/>
        <w:ind w:left="720" w:firstLine="480"/>
        <w:jc w:val="both"/>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       </w:t>
      </w:r>
      <w:proofErr w:type="gramStart"/>
      <w:r w:rsidRPr="003D559F">
        <w:rPr>
          <w:rFonts w:ascii="Times New Roman" w:eastAsia="Times New Roman" w:hAnsi="Times New Roman" w:cs="Times New Roman"/>
          <w:color w:val="000000"/>
          <w:sz w:val="24"/>
          <w:szCs w:val="24"/>
        </w:rPr>
        <w:t>В результате проведенной экспертизы на проект решения Совета депутатов муниципального образования Пудостьское сельское поселение Гатчинского муниципального района Ленинградской области «О бюджете Пудостьского сельского поселения на 2015 год» можно сделать вывод, что представленные вместе с проектом решения документы финансового планирования, соответствуют в целом требованиям Бюджетного кодексу Российской Федерации, нормативно-правовым документам субъекта Российской Федерации и муниципального образования.</w:t>
      </w:r>
      <w:proofErr w:type="gramEnd"/>
    </w:p>
    <w:p w:rsidR="003D559F" w:rsidRPr="003D559F" w:rsidRDefault="003D559F" w:rsidP="003D559F">
      <w:pPr>
        <w:shd w:val="clear" w:color="auto" w:fill="F1EFF0"/>
        <w:spacing w:after="0" w:line="240" w:lineRule="auto"/>
        <w:ind w:left="720" w:firstLine="480"/>
        <w:jc w:val="both"/>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Председатель</w:t>
      </w:r>
    </w:p>
    <w:p w:rsidR="003D559F" w:rsidRPr="003D559F" w:rsidRDefault="003D559F" w:rsidP="003D559F">
      <w:pPr>
        <w:shd w:val="clear" w:color="auto" w:fill="F1EFF0"/>
        <w:spacing w:after="0" w:line="240" w:lineRule="auto"/>
        <w:ind w:left="720" w:firstLine="480"/>
        <w:jc w:val="both"/>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Контрольно-счетной палаты</w:t>
      </w:r>
    </w:p>
    <w:p w:rsidR="003D559F" w:rsidRPr="003D559F" w:rsidRDefault="003D559F" w:rsidP="003D559F">
      <w:pPr>
        <w:shd w:val="clear" w:color="auto" w:fill="F1EFF0"/>
        <w:spacing w:after="0" w:line="240" w:lineRule="auto"/>
        <w:ind w:left="720" w:firstLine="480"/>
        <w:jc w:val="both"/>
        <w:rPr>
          <w:rFonts w:ascii="Verdana" w:eastAsia="Times New Roman" w:hAnsi="Verdana" w:cs="Times New Roman"/>
          <w:color w:val="51300F"/>
          <w:sz w:val="18"/>
          <w:szCs w:val="18"/>
        </w:rPr>
      </w:pPr>
      <w:r w:rsidRPr="003D559F">
        <w:rPr>
          <w:rFonts w:ascii="Times New Roman" w:eastAsia="Times New Roman" w:hAnsi="Times New Roman" w:cs="Times New Roman"/>
          <w:color w:val="000000"/>
          <w:sz w:val="24"/>
          <w:szCs w:val="24"/>
        </w:rPr>
        <w:t>Гатчинского муниципального р</w:t>
      </w:r>
      <w:r>
        <w:rPr>
          <w:rFonts w:ascii="Times New Roman" w:eastAsia="Times New Roman" w:hAnsi="Times New Roman" w:cs="Times New Roman"/>
          <w:color w:val="000000"/>
          <w:sz w:val="24"/>
          <w:szCs w:val="24"/>
        </w:rPr>
        <w:t>айона                  </w:t>
      </w:r>
      <w:r w:rsidRPr="003D559F">
        <w:rPr>
          <w:rFonts w:ascii="Times New Roman" w:eastAsia="Times New Roman" w:hAnsi="Times New Roman" w:cs="Times New Roman"/>
          <w:color w:val="000000"/>
          <w:sz w:val="24"/>
          <w:szCs w:val="24"/>
        </w:rPr>
        <w:t xml:space="preserve">                      И.Е. </w:t>
      </w:r>
      <w:proofErr w:type="spellStart"/>
      <w:r w:rsidRPr="003D559F">
        <w:rPr>
          <w:rFonts w:ascii="Times New Roman" w:eastAsia="Times New Roman" w:hAnsi="Times New Roman" w:cs="Times New Roman"/>
          <w:color w:val="000000"/>
          <w:sz w:val="24"/>
          <w:szCs w:val="24"/>
        </w:rPr>
        <w:t>Вихровский</w:t>
      </w:r>
      <w:proofErr w:type="spellEnd"/>
    </w:p>
    <w:p w:rsidR="00B142AD" w:rsidRDefault="00B142AD"/>
    <w:sectPr w:rsidR="00B14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D559F"/>
    <w:rsid w:val="003D559F"/>
    <w:rsid w:val="00B14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559F"/>
  </w:style>
  <w:style w:type="paragraph" w:styleId="a3">
    <w:name w:val="List Paragraph"/>
    <w:basedOn w:val="a"/>
    <w:uiPriority w:val="34"/>
    <w:qFormat/>
    <w:rsid w:val="003D5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3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Company>KF</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ARM9</dc:creator>
  <cp:keywords/>
  <dc:description/>
  <cp:lastModifiedBy>ARM9</cp:lastModifiedBy>
  <cp:revision>3</cp:revision>
  <dcterms:created xsi:type="dcterms:W3CDTF">2015-09-10T11:42:00Z</dcterms:created>
  <dcterms:modified xsi:type="dcterms:W3CDTF">2015-09-10T11:42:00Z</dcterms:modified>
</cp:coreProperties>
</file>